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Pose d'un WC suspendu avec bâti-support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du WC existant et évacuation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70,00 €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 bâti-support autoportant avec réservoir encastré et plaque de commande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320,00 €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Fourniture d'une cuvette suspendue sans bride et abattant frein de chute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290,00 €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290,00 €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Modification de l'évacuation PVC diamètre 100 et de l'alimentation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du bâti, réglage, fixation au sol et au mur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Pose de la cuvette et de la plaque après habillage, mise en service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1 240,00 €</w:t>
      </w:r>
    </w:p>
    <w:p>
      <w:pPr>
        <w:jc w:val="right"/>
        <w:spacing w:after="20"/>
      </w:pPr>
      <w:r>
        <w:t xml:space="preserve">TVA [taux] % : 124,00 €   (exemple à 10 %)</w:t>
      </w:r>
    </w:p>
    <w:p>
      <w:pPr>
        <w:jc w:val="right"/>
        <w:spacing w:after="240"/>
      </w:pPr>
      <w:r>
        <w:rPr>
          <w:b/>
        </w:rPr>
        <w:t xml:space="preserve">Total TTC : 1 364,00 €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achevé depuis plus de deux ans. 20 % si les toilettes sont créées dans une extension ou dans un logement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