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40"/>
      </w:pPr>
      <w:r>
        <w:rPr>
          <w:b/>
          <w:color w:val="081FF7"/>
          <w:sz w:val="44"/>
        </w:rPr>
        <w:t xml:space="preserve">DEVIS</w:t>
      </w:r>
    </w:p>
    <w:p>
      <w:pPr>
        <w:spacing w:after="280"/>
      </w:pPr>
      <w:r>
        <w:rPr>
          <w:color w:val="767676"/>
          <w:sz w:val="18"/>
        </w:rPr>
        <w:t xml:space="preserve">Exemple : Pose de volets roulants électriques — à compléter</w:t>
      </w:r>
    </w:p>
    <w:p>
      <w:pPr>
        <w:spacing w:after="40"/>
      </w:pPr>
      <w:r>
        <w:rPr>
          <w:b/>
        </w:rPr>
        <w:t xml:space="preserve">[ VOTRE ENTREPRISE ]</w:t>
      </w:r>
    </w:p>
    <w:p>
      <w:pPr>
        <w:spacing w:after="20"/>
      </w:pPr>
      <w:r>
        <w:t xml:space="preserve">[Raison sociale] — [Forme juridique, capital s'il y a lieu]</w:t>
      </w:r>
    </w:p>
    <w:p>
      <w:pPr>
        <w:spacing w:after="20"/>
      </w:pPr>
      <w:r>
        <w:t xml:space="preserve">[Adresse] — [Code postal] [Ville]</w:t>
      </w:r>
    </w:p>
    <w:p>
      <w:pPr>
        <w:spacing w:after="20"/>
      </w:pPr>
      <w:r>
        <w:t xml:space="preserve">Tél. [numéro] — [email]</w:t>
      </w:r>
    </w:p>
    <w:p>
      <w:pPr>
        <w:spacing w:after="20"/>
      </w:pPr>
      <w:r>
        <w:t xml:space="preserve">SIRET [14 chiffres] — RM [numéro au répertoire des métiers]</w:t>
      </w:r>
    </w:p>
    <w:p>
      <w:pPr>
        <w:spacing w:after="20"/>
      </w:pPr>
      <w:r>
        <w:t xml:space="preserve">TVA intracommunautaire [FR00 000000000]  /  ou : TVA non applicable, art. 293 B du CGI</w:t>
      </w:r>
    </w:p>
    <w:p>
      <w:pPr>
        <w:spacing w:after="240"/>
      </w:pPr>
      <w:r>
        <w:t xml:space="preserve">Assurance décennale [assureur], contrat n° [numéro], couverture [zone géographique]</w:t>
      </w:r>
    </w:p>
    <w:p>
      <w:pPr>
        <w:spacing w:after="40"/>
      </w:pPr>
      <w:r>
        <w:rPr>
          <w:b/>
        </w:rPr>
        <w:t xml:space="preserve">[ CLIENT ]</w:t>
      </w:r>
    </w:p>
    <w:p>
      <w:pPr>
        <w:spacing w:after="20"/>
      </w:pPr>
      <w:r>
        <w:t xml:space="preserve">[Nom et prénom] — [Adresse] — [Code postal] [Ville] — [Téléphone]</w:t>
      </w:r>
    </w:p>
    <w:p>
      <w:pPr>
        <w:spacing w:after="240"/>
      </w:pPr>
      <w:r>
        <w:t xml:space="preserve">Adresse du chantier si différente : [adresse]</w:t>
      </w:r>
    </w:p>
    <w:p>
      <w:pPr>
        <w:spacing w:after="40"/>
      </w:pPr>
      <w:r>
        <w:rPr>
          <w:b/>
        </w:rPr>
        <w:t xml:space="preserve">Devis n° [DEV-2026-001]     Date : [jj/mm/aaaa]     Valable jusqu'au : [jj/mm/aaaa]</w:t>
      </w:r>
    </w:p>
    <w:p>
      <w:pPr>
        <w:spacing w:after="240"/>
      </w:pPr>
      <w:r>
        <w:t xml:space="preserve">Établissement du devis : gratuit  /  payant : [montant]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200"/>
        <w:gridCol w:w="700"/>
        <w:gridCol w:w="700"/>
        <w:gridCol w:w="1100"/>
        <w:gridCol w:w="1200"/>
      </w:tblGrid>
      <w:tr>
        <w:tc>
          <w:tcPr>
            <w:tcW w:w="4200" w:type="dxa"/>
            <w:shd w:val="clear" w:fill="E8EAF6"/>
          </w:tcPr>
          <w:p>
            <w:pPr>
              <w:spacing w:after="40"/>
            </w:pPr>
            <w:r>
              <w:rPr>
                <w:b/>
              </w:rPr>
              <w:t xml:space="preserve">Désignation</w:t>
            </w:r>
          </w:p>
        </w:tc>
        <w:tc>
          <w:tcPr>
            <w:tcW w:w="700" w:type="dxa"/>
            <w:shd w:val="clear" w:fill="E8EAF6"/>
          </w:tcPr>
          <w:p>
            <w:pPr>
              <w:spacing w:after="40"/>
            </w:pPr>
            <w:r>
              <w:rPr>
                <w:b/>
              </w:rPr>
              <w:t xml:space="preserve">Unité</w:t>
            </w:r>
          </w:p>
        </w:tc>
        <w:tc>
          <w:tcPr>
            <w:tcW w:w="700" w:type="dxa"/>
            <w:shd w:val="clear" w:fill="E8EAF6"/>
          </w:tcPr>
          <w:p>
            <w:pPr>
              <w:spacing w:after="40"/>
            </w:pPr>
            <w:r>
              <w:rPr>
                <w:b/>
              </w:rPr>
              <w:t xml:space="preserve">Qté</w:t>
            </w:r>
          </w:p>
        </w:tc>
        <w:tc>
          <w:tcPr>
            <w:tcW w:w="1100" w:type="dxa"/>
            <w:shd w:val="clear" w:fill="E8EAF6"/>
          </w:tcPr>
          <w:p>
            <w:pPr>
              <w:spacing w:after="40"/>
            </w:pPr>
            <w:r>
              <w:rPr>
                <w:b/>
              </w:rPr>
              <w:t xml:space="preserve">P.U. HT</w:t>
            </w:r>
          </w:p>
        </w:tc>
        <w:tc>
          <w:tcPr>
            <w:tcW w:w="1200" w:type="dxa"/>
            <w:shd w:val="clear" w:fill="E8EAF6"/>
          </w:tcPr>
          <w:p>
            <w:pPr>
              <w:spacing w:after="40"/>
            </w:pPr>
            <w:r>
              <w:rPr>
                <w:b/>
              </w:rPr>
              <w:t xml:space="preserve">Total HT</w:t>
            </w:r>
          </w:p>
        </w:tc>
      </w:tr>
      <w:tr>
        <w:tc>
          <w:tcPr>
            <w:tcW w:w="4200" w:type="dxa"/>
          </w:tcPr>
          <w:p>
            <w:pPr>
              <w:spacing w:after="40"/>
            </w:pPr>
            <w:r>
              <w:t xml:space="preserve">Dépose des volets battants et des gonds, rebouchage</w:t>
            </w:r>
          </w:p>
        </w:tc>
        <w:tc>
          <w:tcPr>
            <w:tcW w:w="700" w:type="dxa"/>
          </w:tcPr>
          <w:p>
            <w:pPr>
              <w:spacing w:after="40"/>
            </w:pPr>
            <w:r>
              <w:t xml:space="preserve">u</w:t>
            </w:r>
          </w:p>
        </w:tc>
        <w:tc>
          <w:tcPr>
            <w:tcW w:w="700" w:type="dxa"/>
          </w:tcPr>
          <w:p>
            <w:pPr>
              <w:spacing w:after="40"/>
            </w:pPr>
            <w:r>
              <w:t xml:space="preserve">3</w:t>
            </w:r>
          </w:p>
        </w:tc>
        <w:tc>
          <w:tcPr>
            <w:tcW w:w="1100" w:type="dxa"/>
          </w:tcPr>
          <w:p>
            <w:pPr>
              <w:spacing w:after="40"/>
            </w:pPr>
            <w:r>
              <w:t xml:space="preserve">45,00 €</w:t>
            </w:r>
          </w:p>
        </w:tc>
        <w:tc>
          <w:tcPr>
            <w:tcW w:w="1200" w:type="dxa"/>
          </w:tcPr>
          <w:p>
            <w:pPr>
              <w:spacing w:after="40"/>
            </w:pPr>
            <w:r>
              <w:t xml:space="preserve">135,00 €</w:t>
            </w:r>
          </w:p>
        </w:tc>
      </w:tr>
      <w:tr>
        <w:tc>
          <w:tcPr>
            <w:tcW w:w="4200" w:type="dxa"/>
          </w:tcPr>
          <w:p>
            <w:pPr>
              <w:spacing w:after="40"/>
            </w:pPr>
            <w:r>
              <w:t xml:space="preserve">Fourniture de volets roulants rénovation aluminium, lames isolées, coffre extérieur, moteur radio</w:t>
            </w:r>
          </w:p>
        </w:tc>
        <w:tc>
          <w:tcPr>
            <w:tcW w:w="700" w:type="dxa"/>
          </w:tcPr>
          <w:p>
            <w:pPr>
              <w:spacing w:after="40"/>
            </w:pPr>
            <w:r>
              <w:t xml:space="preserve">u</w:t>
            </w:r>
          </w:p>
        </w:tc>
        <w:tc>
          <w:tcPr>
            <w:tcW w:w="700" w:type="dxa"/>
          </w:tcPr>
          <w:p>
            <w:pPr>
              <w:spacing w:after="40"/>
            </w:pPr>
            <w:r>
              <w:t xml:space="preserve">3</w:t>
            </w:r>
          </w:p>
        </w:tc>
        <w:tc>
          <w:tcPr>
            <w:tcW w:w="1100" w:type="dxa"/>
          </w:tcPr>
          <w:p>
            <w:pPr>
              <w:spacing w:after="40"/>
            </w:pPr>
            <w:r>
              <w:t xml:space="preserve">640,00 €</w:t>
            </w:r>
          </w:p>
        </w:tc>
        <w:tc>
          <w:tcPr>
            <w:tcW w:w="1200" w:type="dxa"/>
          </w:tcPr>
          <w:p>
            <w:pPr>
              <w:spacing w:after="40"/>
            </w:pPr>
            <w:r>
              <w:t xml:space="preserve">1 920,00 €</w:t>
            </w:r>
          </w:p>
        </w:tc>
      </w:tr>
      <w:tr>
        <w:tc>
          <w:tcPr>
            <w:tcW w:w="4200" w:type="dxa"/>
          </w:tcPr>
          <w:p>
            <w:pPr>
              <w:spacing w:after="40"/>
            </w:pPr>
            <w:r>
              <w:t xml:space="preserve">Pose en applique sous linteau, fixation et étanchéité du coffre</w:t>
            </w:r>
          </w:p>
        </w:tc>
        <w:tc>
          <w:tcPr>
            <w:tcW w:w="700" w:type="dxa"/>
          </w:tcPr>
          <w:p>
            <w:pPr>
              <w:spacing w:after="40"/>
            </w:pPr>
            <w:r>
              <w:t xml:space="preserve">u</w:t>
            </w:r>
          </w:p>
        </w:tc>
        <w:tc>
          <w:tcPr>
            <w:tcW w:w="700" w:type="dxa"/>
          </w:tcPr>
          <w:p>
            <w:pPr>
              <w:spacing w:after="40"/>
            </w:pPr>
            <w:r>
              <w:t xml:space="preserve">3</w:t>
            </w:r>
          </w:p>
        </w:tc>
        <w:tc>
          <w:tcPr>
            <w:tcW w:w="1100" w:type="dxa"/>
          </w:tcPr>
          <w:p>
            <w:pPr>
              <w:spacing w:after="40"/>
            </w:pPr>
            <w:r>
              <w:t xml:space="preserve">185,00 €</w:t>
            </w:r>
          </w:p>
        </w:tc>
        <w:tc>
          <w:tcPr>
            <w:tcW w:w="1200" w:type="dxa"/>
          </w:tcPr>
          <w:p>
            <w:pPr>
              <w:spacing w:after="40"/>
            </w:pPr>
            <w:r>
              <w:t xml:space="preserve">555,00 €</w:t>
            </w:r>
          </w:p>
        </w:tc>
      </w:tr>
      <w:tr>
        <w:tc>
          <w:tcPr>
            <w:tcW w:w="4200" w:type="dxa"/>
          </w:tcPr>
          <w:p>
            <w:pPr>
              <w:spacing w:after="40"/>
            </w:pPr>
            <w:r>
              <w:t xml:space="preserve">Raccordement sur alimentation existante et programmation des fins de course</w:t>
            </w:r>
          </w:p>
        </w:tc>
        <w:tc>
          <w:tcPr>
            <w:tcW w:w="700" w:type="dxa"/>
          </w:tcPr>
          <w:p>
            <w:pPr>
              <w:spacing w:after="40"/>
            </w:pPr>
            <w:r>
              <w:t xml:space="preserve">u</w:t>
            </w:r>
          </w:p>
        </w:tc>
        <w:tc>
          <w:tcPr>
            <w:tcW w:w="700" w:type="dxa"/>
          </w:tcPr>
          <w:p>
            <w:pPr>
              <w:spacing w:after="40"/>
            </w:pPr>
            <w:r>
              <w:t xml:space="preserve">3</w:t>
            </w:r>
          </w:p>
        </w:tc>
        <w:tc>
          <w:tcPr>
            <w:tcW w:w="1100" w:type="dxa"/>
          </w:tcPr>
          <w:p>
            <w:pPr>
              <w:spacing w:after="40"/>
            </w:pPr>
            <w:r>
              <w:t xml:space="preserve">70,00 €</w:t>
            </w:r>
          </w:p>
        </w:tc>
        <w:tc>
          <w:tcPr>
            <w:tcW w:w="1200" w:type="dxa"/>
          </w:tcPr>
          <w:p>
            <w:pPr>
              <w:spacing w:after="40"/>
            </w:pPr>
            <w:r>
              <w:t xml:space="preserve">210,00 €</w:t>
            </w:r>
          </w:p>
        </w:tc>
      </w:tr>
      <w:tr>
        <w:tc>
          <w:tcPr>
            <w:tcW w:w="4200" w:type="dxa"/>
          </w:tcPr>
          <w:p>
            <w:pPr>
              <w:spacing w:after="40"/>
            </w:pPr>
            <w:r>
              <w:t xml:space="preserve">Télécommande centralisée pour les trois volets</w:t>
            </w:r>
          </w:p>
        </w:tc>
        <w:tc>
          <w:tcPr>
            <w:tcW w:w="700" w:type="dxa"/>
          </w:tcPr>
          <w:p>
            <w:pPr>
              <w:spacing w:after="40"/>
            </w:pPr>
            <w:r>
              <w:t xml:space="preserve">u</w:t>
            </w:r>
          </w:p>
        </w:tc>
        <w:tc>
          <w:tcPr>
            <w:tcW w:w="700" w:type="dxa"/>
          </w:tcPr>
          <w:p>
            <w:pPr>
              <w:spacing w:after="40"/>
            </w:pPr>
            <w:r>
              <w:t xml:space="preserve">1</w:t>
            </w:r>
          </w:p>
        </w:tc>
        <w:tc>
          <w:tcPr>
            <w:tcW w:w="1100" w:type="dxa"/>
          </w:tcPr>
          <w:p>
            <w:pPr>
              <w:spacing w:after="40"/>
            </w:pPr>
            <w:r>
              <w:t xml:space="preserve">95,00 €</w:t>
            </w:r>
          </w:p>
        </w:tc>
        <w:tc>
          <w:tcPr>
            <w:tcW w:w="1200" w:type="dxa"/>
          </w:tcPr>
          <w:p>
            <w:pPr>
              <w:spacing w:after="40"/>
            </w:pPr>
            <w:r>
              <w:t xml:space="preserve">95,00 €</w:t>
            </w:r>
          </w:p>
        </w:tc>
      </w:tr>
      <w:tr>
        <w:tc>
          <w:tcPr>
            <w:tcW w:w="4200" w:type="dxa"/>
          </w:tcPr>
          <w:p>
            <w:pPr>
              <w:spacing w:after="40"/>
            </w:pPr>
            <w:r>
              <w:t xml:space="preserve">[Ajoute tes lignes ici]</w:t>
            </w:r>
          </w:p>
        </w:tc>
        <w:tc>
          <w:tcPr>
            <w:tcW w:w="700" w:type="dxa"/>
          </w:tcPr>
          <w:p>
            <w:pPr>
              <w:spacing w:after="40"/>
            </w:pPr>
            <w:r>
              <w:t xml:space="preserve"/>
            </w:r>
          </w:p>
        </w:tc>
        <w:tc>
          <w:tcPr>
            <w:tcW w:w="700" w:type="dxa"/>
          </w:tcPr>
          <w:p>
            <w:pPr>
              <w:spacing w:after="40"/>
            </w:pPr>
            <w:r>
              <w:t xml:space="preserve"/>
            </w:r>
          </w:p>
        </w:tc>
        <w:tc>
          <w:tcPr>
            <w:tcW w:w="1100" w:type="dxa"/>
          </w:tcPr>
          <w:p>
            <w:pPr>
              <w:spacing w:after="40"/>
            </w:pPr>
            <w:r>
              <w:t xml:space="preserve"/>
            </w:r>
          </w:p>
        </w:tc>
        <w:tc>
          <w:tcPr>
            <w:tcW w:w="1200" w:type="dxa"/>
          </w:tcPr>
          <w:p>
            <w:pPr>
              <w:spacing w:after="40"/>
            </w:pPr>
            <w:r>
              <w:t xml:space="preserve"/>
            </w:r>
          </w:p>
        </w:tc>
      </w:tr>
    </w:tbl>
    <w:p>
      <w:pPr>
        <w:spacing w:after="120"/>
      </w:pPr>
    </w:p>
    <w:p>
      <w:pPr>
        <w:jc w:val="right"/>
        <w:spacing w:after="20"/>
      </w:pPr>
      <w:r>
        <w:rPr>
          <w:b/>
        </w:rPr>
        <w:t xml:space="preserve">Total HT : 2 915,00 €</w:t>
      </w:r>
    </w:p>
    <w:p>
      <w:pPr>
        <w:jc w:val="right"/>
        <w:spacing w:after="20"/>
      </w:pPr>
      <w:r>
        <w:t xml:space="preserve">TVA [taux] % : 291,50 €   (exemple à 10 %)</w:t>
      </w:r>
    </w:p>
    <w:p>
      <w:pPr>
        <w:jc w:val="right"/>
        <w:spacing w:after="240"/>
      </w:pPr>
      <w:r>
        <w:rPr>
          <w:b/>
        </w:rPr>
        <w:t xml:space="preserve">Total TTC : 3 206,50 €</w:t>
      </w:r>
    </w:p>
    <w:p>
      <w:pPr>
        <w:spacing w:after="40"/>
      </w:pPr>
      <w:r>
        <w:rPr>
          <w:b/>
        </w:rPr>
        <w:t xml:space="preserve">Conditions de règlement</w:t>
      </w:r>
    </w:p>
    <w:p>
      <w:pPr>
        <w:spacing w:after="20"/>
      </w:pPr>
      <w:r>
        <w:t xml:space="preserve">Acompte de [30] % à la commande, solde à la fin des travaux. Moyens acceptés : [virement, chèque].</w:t>
      </w:r>
    </w:p>
    <w:p>
      <w:pPr>
        <w:spacing w:after="200"/>
      </w:pPr>
      <w:r>
        <w:t xml:space="preserve">Pas d'escompte pour paiement anticipé. Pénalités de retard : [taux] % par an. Indemnité forfaitaire de recouvrement : 40 € pour un client professionnel.</w:t>
      </w:r>
    </w:p>
    <w:p>
      <w:pPr>
        <w:spacing w:after="40"/>
      </w:pPr>
      <w:r>
        <w:rPr>
          <w:b/>
        </w:rPr>
        <w:t xml:space="preserve">TVA applicable</w:t>
      </w:r>
    </w:p>
    <w:p>
      <w:pPr>
        <w:spacing w:after="200"/>
      </w:pPr>
      <w:r>
        <w:t xml:space="preserve">5,5 % uniquement si les volets répondent aux critères des volets isolants de la rénovation énergétique, dans un logement de plus de deux ans, avec l'attestation du client. Un volet roulant standard reste à 10 % dans l'ancien, 20 % dans le neuf.</w:t>
      </w:r>
    </w:p>
    <w:p>
      <w:pPr>
        <w:spacing w:after="40"/>
      </w:pPr>
      <w:r>
        <w:rPr>
          <w:b/>
        </w:rPr>
        <w:t xml:space="preserve">Droit de rétractation</w:t>
      </w:r>
    </w:p>
    <w:p>
      <w:pPr>
        <w:spacing w:after="240"/>
      </w:pPr>
      <w:r>
        <w:t xml:space="preserve">Si ce devis est signé hors de l'établissement de l'entreprise, le client particulier dispose de 14 jours pour se rétracter. Le bordereau de rétractation est joint au présent devis.</w:t>
      </w:r>
    </w:p>
    <w:p>
      <w:pPr>
        <w:spacing w:after="40"/>
      </w:pPr>
      <w:r>
        <w:rPr>
          <w:b/>
        </w:rPr>
        <w:t xml:space="preserve">Devis reçu avant l'exécution des travaux.</w:t>
      </w:r>
    </w:p>
    <w:p>
      <w:pPr>
        <w:spacing w:after="600"/>
      </w:pPr>
      <w:r>
        <w:t xml:space="preserve">Date et signature du client, précédées de la mention « Bon pour accord » :</w:t>
      </w:r>
    </w:p>
    <w:p>
      <w:pPr>
        <w:spacing w:after="240"/>
      </w:pPr>
      <w:r>
        <w:t xml:space="preserve">_______________________________________________</w:t>
      </w:r>
    </w:p>
    <w:p>
      <w:pPr>
        <w:spacing w:after="60"/>
      </w:pPr>
      <w:r>
        <w:rPr>
          <w:color w:val="767676"/>
          <w:sz w:val="16"/>
        </w:rPr>
        <w:t xml:space="preserve">Ce modèle et ces explications sont donnés à titre d'information et reflètent la réglementation française applicable aux artisans du bâtiment. Ils ne remplacent pas l'avis de votre comptable ou de votre chambre de métiers, seuls à connaître votre situation : régime fiscal, forme juridique, nature exacte des travaux et statut du client changent certaines obligations.</w:t>
      </w:r>
    </w:p>
    <w:p>
      <w:pPr>
        <w:spacing w:after="120"/>
      </w:pPr>
      <w:r>
        <w:rPr>
          <w:color w:val="767676"/>
          <w:sz w:val="16"/>
        </w:rPr>
        <w:t xml:space="preserve">Modèle gratuit fourni par 1Bleu — 1bleu.com</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cs="Calibri"/>
        <w:sz w:val="20"/>
        <w:szCs w:val="20"/>
      </w:rPr>
    </w:rPrDefault>
  </w:docDefaults>
  <w:style w:type="paragraph" w:default="1" w:styleId="Normal">
    <w:name w:val="Normal"/>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