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des murs d'une pièce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sols, du mobilier et des menuiseries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interrupteurs et prises, rebouchage et ponçage des murs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299,00 €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sur fond neuf ou reprise sur ancienne peinture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193,20 €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velours, teinte au choix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Remontage de l'appareillage et nettoyage du chantier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1 131,20 €</w:t>
      </w:r>
    </w:p>
    <w:p>
      <w:pPr>
        <w:jc w:val="right"/>
        <w:spacing w:after="20"/>
      </w:pPr>
      <w:r>
        <w:t xml:space="preserve">TVA [taux] % : 113,12 €   (exemple à 10 %)</w:t>
      </w:r>
    </w:p>
    <w:p>
      <w:pPr>
        <w:jc w:val="right"/>
        <w:spacing w:after="240"/>
      </w:pPr>
      <w:r>
        <w:rPr>
          <w:b/>
        </w:rPr>
        <w:t xml:space="preserve">Total TTC : 1 244,32 €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avec attestation du client. 20 % pour un logement livré depuis moins de deux ans ou un bureau.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