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de façade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Montage, location et démontage d'un échafaudage de façade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haute pression et traitement anti-mousse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617,50 €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des fissures et des épaufrures, rebouchage au mortier de réparation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Fixateur de fond sur enduit farinant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4,80 €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de façade pliolite ou siloxane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1 567,50 €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menuiseries, des sols et des végétaux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4 311,00 €</w:t>
      </w:r>
    </w:p>
    <w:p>
      <w:pPr>
        <w:jc w:val="right"/>
        <w:spacing w:after="20"/>
      </w:pPr>
      <w:r>
        <w:t xml:space="preserve">TVA [taux] % : 431,10 €   (exemple à 10 %)</w:t>
      </w:r>
    </w:p>
    <w:p>
      <w:pPr>
        <w:jc w:val="right"/>
        <w:spacing w:after="240"/>
      </w:pPr>
      <w:r>
        <w:rPr>
          <w:b/>
        </w:rPr>
        <w:t xml:space="preserve">Total TTC : 4 742,10 €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maison de plus de deux ans : la peinture de façade est de l'entretien et de l'amélioration. 20 % sur une construction neuve ou un bâtiment professionnel. Pas de 5,5 % sur une peinture seule, même dite « isolante ».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