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Peinture d'une cage d'escalier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Installation d'un échafaudage d'escalier ou d'une plateforme, protection des marches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Lessivage, rebouchage et ponçage des murs et plafonds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58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377,00 €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Impression sur reprises et fonds hétérogènes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58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4,20 €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243,60 €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Deux couches de peinture acrylique satinée lessivable sur murs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Deux couches de peinture mate sur plafonds et sous-face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168,00 €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Peinture de la rampe et des balustres, deux couches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9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198,00 €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1 816,60 €</w:t>
      </w:r>
    </w:p>
    <w:p>
      <w:pPr>
        <w:jc w:val="right"/>
        <w:spacing w:after="20"/>
      </w:pPr>
      <w:r>
        <w:t xml:space="preserve">TVA [taux] % : 181,66 €   (exemple à 10 %)</w:t>
      </w:r>
    </w:p>
    <w:p>
      <w:pPr>
        <w:jc w:val="right"/>
        <w:spacing w:after="240"/>
      </w:pPr>
      <w:r>
        <w:rPr>
          <w:b/>
        </w:rPr>
        <w:t xml:space="preserve">Total TTC : 1 998,26 €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immeuble d'habitation ou une maison de plus de deux ans, y compris les parties communes d'une copropriété d'habitation, avec attestation du syndic ou du propriétaire. 20 % pour un immeuble de bureaux.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