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Faux plafond démontable en dalles 600 x 600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plafond existant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Ossature apparente T24, cornières périphériques et suspentes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Dalles minérales 600 x 600 bord droit, classe d'absorption acoustique C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Découpes et adaptations en périphérie et autour des réseaux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221,00 €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Réservations pour luminaires encastrés 600 x 600, hors électricité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2 734,00 €</w:t>
      </w:r>
    </w:p>
    <w:p>
      <w:pPr>
        <w:jc w:val="right"/>
        <w:spacing w:after="20"/>
      </w:pPr>
      <w:r>
        <w:t xml:space="preserve">TVA [taux] % : 273,40 €   (exemple à 10 %)</w:t>
      </w:r>
    </w:p>
    <w:p>
      <w:pPr>
        <w:jc w:val="right"/>
        <w:spacing w:after="240"/>
      </w:pPr>
      <w:r>
        <w:rPr>
          <w:b/>
        </w:rPr>
        <w:t xml:space="preserve">Total TTC : 3 007,40 €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: un local professionnel, un client entreprise ou une collectivité ne relèvent jamais du taux réduit. Le 10 % ne revient que si le local est en réalité un logement de plus de deux ans, ce qui est rare pour ce type de plafond.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