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Enduit de façade monocouche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Montage et location d'un échafaudage de façade, 80 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Piquage des parties creuses et gobetis d'accrochage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application d'un enduit monocouche, finition grattée, teinte au choix du nuancier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3 520,00 €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Baguettes d'angle et profilés de tableaux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273,00 €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des menuiseries, des sols et des plantations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5 783,00 €</w:t>
      </w:r>
    </w:p>
    <w:p>
      <w:pPr>
        <w:jc w:val="right"/>
        <w:spacing w:after="20"/>
      </w:pPr>
      <w:r>
        <w:t xml:space="preserve">TVA [taux] % : 578,30 €   (exemple à 10 %)</w:t>
      </w:r>
    </w:p>
    <w:p>
      <w:pPr>
        <w:jc w:val="right"/>
        <w:spacing w:after="240"/>
      </w:pPr>
      <w:r>
        <w:rPr>
          <w:b/>
        </w:rPr>
        <w:t xml:space="preserve">Total TTC : 6 361,30 €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 : le ravalement est un travail d'entretien. Le 5,5 % ne s'applique que si l'enduit est posé sur une isolation par l'extérieur éligible, avec l'attestation du client ; un enduit seul ne l'ouvre pas.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