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Chape de ravoirage et de finition avant carrelage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Film polyane et bande périphérique de désolidarisation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157,50 €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Chape traditionnelle au mortier, épaisseur 5 cm, tirée à la règle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Treillis anti-fissuration incorporé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Joints de fractionnement aux seuils de portes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de planéité et ponçage des laitances avant pose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1 981,50 €</w:t>
      </w:r>
    </w:p>
    <w:p>
      <w:pPr>
        <w:jc w:val="right"/>
        <w:spacing w:after="20"/>
      </w:pPr>
      <w:r>
        <w:t xml:space="preserve">TVA [taux] % : 198,15 €   (exemple à 10 %)</w:t>
      </w:r>
    </w:p>
    <w:p>
      <w:pPr>
        <w:jc w:val="right"/>
        <w:spacing w:after="240"/>
      </w:pPr>
      <w:r>
        <w:rPr>
          <w:b/>
        </w:rPr>
        <w:t xml:space="preserve">Total TTC : 2 179,65 €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dans une extension ou une construction neuve, ce qui est le cas le plus courant pour une chape. 10 % seulement si la chape est refaite dans une pièce existante d'un logement de plus de deux ans, sans augmentation de surface.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