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pPr>
        <w:spacing w:after="40"/>
      </w:pPr>
      <w:r>
        <w:rPr>
          <w:b/>
          <w:color w:val="081FF7"/>
          <w:sz w:val="44"/>
        </w:rPr>
        <w:t xml:space="preserve">DEVIS</w:t>
      </w:r>
    </w:p>
    <w:p>
      <w:pPr>
        <w:spacing w:after="280"/>
      </w:pPr>
      <w:r>
        <w:rPr>
          <w:color w:val="767676"/>
          <w:sz w:val="18"/>
        </w:rPr>
        <w:t xml:space="preserve">Exemple : Carrelage d'une terrasse extérieure — à compléter</w:t>
      </w:r>
    </w:p>
    <w:p>
      <w:pPr>
        <w:spacing w:after="40"/>
      </w:pPr>
      <w:r>
        <w:rPr>
          <w:b/>
        </w:rPr>
        <w:t xml:space="preserve">[ VOTRE ENTREPRISE ]</w:t>
      </w:r>
    </w:p>
    <w:p>
      <w:pPr>
        <w:spacing w:after="20"/>
      </w:pPr>
      <w:r>
        <w:t xml:space="preserve">[Raison sociale] — [Forme juridique, capital s'il y a lieu]</w:t>
      </w:r>
    </w:p>
    <w:p>
      <w:pPr>
        <w:spacing w:after="20"/>
      </w:pPr>
      <w:r>
        <w:t xml:space="preserve">[Adresse] — [Code postal] [Ville]</w:t>
      </w:r>
    </w:p>
    <w:p>
      <w:pPr>
        <w:spacing w:after="20"/>
      </w:pPr>
      <w:r>
        <w:t xml:space="preserve">Tél. [numéro] — [email]</w:t>
      </w:r>
    </w:p>
    <w:p>
      <w:pPr>
        <w:spacing w:after="20"/>
      </w:pPr>
      <w:r>
        <w:t xml:space="preserve">SIRET [14 chiffres] — RM [numéro au répertoire des métiers]</w:t>
      </w:r>
    </w:p>
    <w:p>
      <w:pPr>
        <w:spacing w:after="20"/>
      </w:pPr>
      <w:r>
        <w:t xml:space="preserve">TVA intracommunautaire [FR00 000000000]  /  ou : TVA non applicable, art. 293 B du CGI</w:t>
      </w:r>
    </w:p>
    <w:p>
      <w:pPr>
        <w:spacing w:after="240"/>
      </w:pPr>
      <w:r>
        <w:t xml:space="preserve">Assurance décennale [assureur], contrat n° [numéro], couverture [zone géographique]</w:t>
      </w:r>
    </w:p>
    <w:p>
      <w:pPr>
        <w:spacing w:after="40"/>
      </w:pPr>
      <w:r>
        <w:rPr>
          <w:b/>
        </w:rPr>
        <w:t xml:space="preserve">[ CLIENT ]</w:t>
      </w:r>
    </w:p>
    <w:p>
      <w:pPr>
        <w:spacing w:after="20"/>
      </w:pPr>
      <w:r>
        <w:t xml:space="preserve">[Nom et prénom] — [Adresse] — [Code postal] [Ville] — [Téléphone]</w:t>
      </w:r>
    </w:p>
    <w:p>
      <w:pPr>
        <w:spacing w:after="240"/>
      </w:pPr>
      <w:r>
        <w:t xml:space="preserve">Adresse du chantier si différente : [adresse]</w:t>
      </w:r>
    </w:p>
    <w:p>
      <w:pPr>
        <w:spacing w:after="40"/>
      </w:pPr>
      <w:r>
        <w:rPr>
          <w:b/>
        </w:rPr>
        <w:t xml:space="preserve">Devis n° [DEV-2026-001]     Date : [jj/mm/aaaa]     Valable jusqu'au : [jj/mm/aaaa]</w:t>
      </w:r>
    </w:p>
    <w:p>
      <w:pPr>
        <w:spacing w:after="240"/>
      </w:pPr>
      <w:r>
        <w:t xml:space="preserve">Établissement du devis : gratuit  /  payant : [montant]</w:t>
      </w:r>
    </w:p>
    <w:tbl>
      <w:tblPr>
        <w:tblW w:w="0" w:type="auto"/>
        <w:tblBorders>
          <w:top w:val="single" w:sz="4" w:space="0" w:color="BFBFBF"/>
          <w:left w:val="single" w:sz="4" w:space="0" w:color="BFBFBF"/>
          <w:bottom w:val="single" w:sz="4" w:space="0" w:color="BFBFBF"/>
          <w:right w:val="single" w:sz="4" w:space="0" w:color="BFBFBF"/>
          <w:insideH w:val="single" w:sz="4" w:space="0" w:color="BFBFBF"/>
          <w:insideV w:val="single" w:sz="4" w:space="0" w:color="BFBFBF"/>
        </w:tblBorders>
      </w:tblPr>
      <w:tblGrid>
        <w:gridCol w:w="4200"/>
        <w:gridCol w:w="700"/>
        <w:gridCol w:w="700"/>
        <w:gridCol w:w="1100"/>
        <w:gridCol w:w="1200"/>
      </w:tblGrid>
      <w:tr>
        <w:tc>
          <w:tcPr>
            <w:tcW w:w="4200" w:type="dxa"/>
            <w:shd w:val="clear" w:fill="E8EAF6"/>
          </w:tcPr>
          <w:p>
            <w:pPr>
              <w:spacing w:after="40"/>
            </w:pPr>
            <w:r>
              <w:rPr>
                <w:b/>
              </w:rPr>
              <w:t xml:space="preserve">Désignation</w:t>
            </w:r>
          </w:p>
        </w:tc>
        <w:tc>
          <w:tcPr>
            <w:tcW w:w="700" w:type="dxa"/>
            <w:shd w:val="clear" w:fill="E8EAF6"/>
          </w:tcPr>
          <w:p>
            <w:pPr>
              <w:spacing w:after="40"/>
            </w:pPr>
            <w:r>
              <w:rPr>
                <w:b/>
              </w:rPr>
              <w:t xml:space="preserve">Unité</w:t>
            </w:r>
          </w:p>
        </w:tc>
        <w:tc>
          <w:tcPr>
            <w:tcW w:w="700" w:type="dxa"/>
            <w:shd w:val="clear" w:fill="E8EAF6"/>
          </w:tcPr>
          <w:p>
            <w:pPr>
              <w:spacing w:after="40"/>
            </w:pPr>
            <w:r>
              <w:rPr>
                <w:b/>
              </w:rPr>
              <w:t xml:space="preserve">Qté</w:t>
            </w:r>
          </w:p>
        </w:tc>
        <w:tc>
          <w:tcPr>
            <w:tcW w:w="1100" w:type="dxa"/>
            <w:shd w:val="clear" w:fill="E8EAF6"/>
          </w:tcPr>
          <w:p>
            <w:pPr>
              <w:spacing w:after="40"/>
            </w:pPr>
            <w:r>
              <w:rPr>
                <w:b/>
              </w:rPr>
              <w:t xml:space="preserve">P.U. HT</w:t>
            </w:r>
          </w:p>
        </w:tc>
        <w:tc>
          <w:tcPr>
            <w:tcW w:w="1200" w:type="dxa"/>
            <w:shd w:val="clear" w:fill="E8EAF6"/>
          </w:tcPr>
          <w:p>
            <w:pPr>
              <w:spacing w:after="40"/>
            </w:pPr>
            <w:r>
              <w:rPr>
                <w:b/>
              </w:rPr>
              <w:t xml:space="preserve">Total HT</w:t>
            </w:r>
          </w:p>
        </w:tc>
      </w:tr>
      <w:tr>
        <w:tc>
          <w:tcPr>
            <w:tcW w:w="4200" w:type="dxa"/>
          </w:tcPr>
          <w:p>
            <w:pPr>
              <w:spacing w:after="40"/>
            </w:pPr>
            <w:r>
              <w:t xml:space="preserve">Nettoyage haute pression et primaire sur dalle béton existante</w:t>
            </w:r>
          </w:p>
        </w:tc>
        <w:tc>
          <w:tcPr>
            <w:tcW w:w="700" w:type="dxa"/>
          </w:tcPr>
          <w:p>
            <w:pPr>
              <w:spacing w:after="40"/>
            </w:pPr>
            <w:r>
              <w:t xml:space="preserve">m²</w:t>
            </w:r>
          </w:p>
        </w:tc>
        <w:tc>
          <w:tcPr>
            <w:tcW w:w="700" w:type="dxa"/>
          </w:tcPr>
          <w:p>
            <w:pPr>
              <w:spacing w:after="40"/>
            </w:pPr>
            <w:r>
              <w:t xml:space="preserve">24</w:t>
            </w:r>
          </w:p>
        </w:tc>
        <w:tc>
          <w:tcPr>
            <w:tcW w:w="1100" w:type="dxa"/>
          </w:tcPr>
          <w:p>
            <w:pPr>
              <w:spacing w:after="40"/>
            </w:pPr>
            <w:r>
              <w:t xml:space="preserve">7,00 €</w:t>
            </w:r>
          </w:p>
        </w:tc>
        <w:tc>
          <w:tcPr>
            <w:tcW w:w="1200" w:type="dxa"/>
          </w:tcPr>
          <w:p>
            <w:pPr>
              <w:spacing w:after="40"/>
            </w:pPr>
            <w:r>
              <w:t xml:space="preserve">168,00 €</w:t>
            </w:r>
          </w:p>
        </w:tc>
      </w:tr>
      <w:tr>
        <w:tc>
          <w:tcPr>
            <w:tcW w:w="4200" w:type="dxa"/>
          </w:tcPr>
          <w:p>
            <w:pPr>
              <w:spacing w:after="40"/>
            </w:pPr>
            <w:r>
              <w:t xml:space="preserve">Reprise de pente au mortier vers l'extérieur, 1,5 %</w:t>
            </w:r>
          </w:p>
        </w:tc>
        <w:tc>
          <w:tcPr>
            <w:tcW w:w="700" w:type="dxa"/>
          </w:tcPr>
          <w:p>
            <w:pPr>
              <w:spacing w:after="40"/>
            </w:pPr>
            <w:r>
              <w:t xml:space="preserve">m²</w:t>
            </w:r>
          </w:p>
        </w:tc>
        <w:tc>
          <w:tcPr>
            <w:tcW w:w="700" w:type="dxa"/>
          </w:tcPr>
          <w:p>
            <w:pPr>
              <w:spacing w:after="40"/>
            </w:pPr>
            <w:r>
              <w:t xml:space="preserve">24</w:t>
            </w:r>
          </w:p>
        </w:tc>
        <w:tc>
          <w:tcPr>
            <w:tcW w:w="1100" w:type="dxa"/>
          </w:tcPr>
          <w:p>
            <w:pPr>
              <w:spacing w:after="40"/>
            </w:pPr>
            <w:r>
              <w:t xml:space="preserve">16,00 €</w:t>
            </w:r>
          </w:p>
        </w:tc>
        <w:tc>
          <w:tcPr>
            <w:tcW w:w="1200" w:type="dxa"/>
          </w:tcPr>
          <w:p>
            <w:pPr>
              <w:spacing w:after="40"/>
            </w:pPr>
            <w:r>
              <w:t xml:space="preserve">384,00 €</w:t>
            </w:r>
          </w:p>
        </w:tc>
      </w:tr>
      <w:tr>
        <w:tc>
          <w:tcPr>
            <w:tcW w:w="4200" w:type="dxa"/>
          </w:tcPr>
          <w:p>
            <w:pPr>
              <w:spacing w:after="40"/>
            </w:pPr>
            <w:r>
              <w:t xml:space="preserve">Fourniture de grès cérame 60 × 60 antidérapant, ingélif, chutes comprises</w:t>
            </w:r>
          </w:p>
        </w:tc>
        <w:tc>
          <w:tcPr>
            <w:tcW w:w="700" w:type="dxa"/>
          </w:tcPr>
          <w:p>
            <w:pPr>
              <w:spacing w:after="40"/>
            </w:pPr>
            <w:r>
              <w:t xml:space="preserve">m²</w:t>
            </w:r>
          </w:p>
        </w:tc>
        <w:tc>
          <w:tcPr>
            <w:tcW w:w="700" w:type="dxa"/>
          </w:tcPr>
          <w:p>
            <w:pPr>
              <w:spacing w:after="40"/>
            </w:pPr>
            <w:r>
              <w:t xml:space="preserve">27</w:t>
            </w:r>
          </w:p>
        </w:tc>
        <w:tc>
          <w:tcPr>
            <w:tcW w:w="1100" w:type="dxa"/>
          </w:tcPr>
          <w:p>
            <w:pPr>
              <w:spacing w:after="40"/>
            </w:pPr>
            <w:r>
              <w:t xml:space="preserve">36,00 €</w:t>
            </w:r>
          </w:p>
        </w:tc>
        <w:tc>
          <w:tcPr>
            <w:tcW w:w="1200" w:type="dxa"/>
          </w:tcPr>
          <w:p>
            <w:pPr>
              <w:spacing w:after="40"/>
            </w:pPr>
            <w:r>
              <w:t xml:space="preserve">972,00 €</w:t>
            </w:r>
          </w:p>
        </w:tc>
      </w:tr>
      <w:tr>
        <w:tc>
          <w:tcPr>
            <w:tcW w:w="4200" w:type="dxa"/>
          </w:tcPr>
          <w:p>
            <w:pPr>
              <w:spacing w:after="40"/>
            </w:pPr>
            <w:r>
              <w:t xml:space="preserve">Pose collée double encollage, colle déformable, joints de 5 mm</w:t>
            </w:r>
          </w:p>
        </w:tc>
        <w:tc>
          <w:tcPr>
            <w:tcW w:w="700" w:type="dxa"/>
          </w:tcPr>
          <w:p>
            <w:pPr>
              <w:spacing w:after="40"/>
            </w:pPr>
            <w:r>
              <w:t xml:space="preserve">m²</w:t>
            </w:r>
          </w:p>
        </w:tc>
        <w:tc>
          <w:tcPr>
            <w:tcW w:w="700" w:type="dxa"/>
          </w:tcPr>
          <w:p>
            <w:pPr>
              <w:spacing w:after="40"/>
            </w:pPr>
            <w:r>
              <w:t xml:space="preserve">24</w:t>
            </w:r>
          </w:p>
        </w:tc>
        <w:tc>
          <w:tcPr>
            <w:tcW w:w="1100" w:type="dxa"/>
          </w:tcPr>
          <w:p>
            <w:pPr>
              <w:spacing w:after="40"/>
            </w:pPr>
            <w:r>
              <w:t xml:space="preserve">52,00 €</w:t>
            </w:r>
          </w:p>
        </w:tc>
        <w:tc>
          <w:tcPr>
            <w:tcW w:w="1200" w:type="dxa"/>
          </w:tcPr>
          <w:p>
            <w:pPr>
              <w:spacing w:after="40"/>
            </w:pPr>
            <w:r>
              <w:t xml:space="preserve">1 248,00 €</w:t>
            </w:r>
          </w:p>
        </w:tc>
      </w:tr>
      <w:tr>
        <w:tc>
          <w:tcPr>
            <w:tcW w:w="4200" w:type="dxa"/>
          </w:tcPr>
          <w:p>
            <w:pPr>
              <w:spacing w:after="40"/>
            </w:pPr>
            <w:r>
              <w:t xml:space="preserve">Joints de fractionnement et joint périphérique souple</w:t>
            </w:r>
          </w:p>
        </w:tc>
        <w:tc>
          <w:tcPr>
            <w:tcW w:w="700" w:type="dxa"/>
          </w:tcPr>
          <w:p>
            <w:pPr>
              <w:spacing w:after="40"/>
            </w:pPr>
            <w:r>
              <w:t xml:space="preserve">ml</w:t>
            </w:r>
          </w:p>
        </w:tc>
        <w:tc>
          <w:tcPr>
            <w:tcW w:w="700" w:type="dxa"/>
          </w:tcPr>
          <w:p>
            <w:pPr>
              <w:spacing w:after="40"/>
            </w:pPr>
            <w:r>
              <w:t xml:space="preserve">22</w:t>
            </w:r>
          </w:p>
        </w:tc>
        <w:tc>
          <w:tcPr>
            <w:tcW w:w="1100" w:type="dxa"/>
          </w:tcPr>
          <w:p>
            <w:pPr>
              <w:spacing w:after="40"/>
            </w:pPr>
            <w:r>
              <w:t xml:space="preserve">11,00 €</w:t>
            </w:r>
          </w:p>
        </w:tc>
        <w:tc>
          <w:tcPr>
            <w:tcW w:w="1200" w:type="dxa"/>
          </w:tcPr>
          <w:p>
            <w:pPr>
              <w:spacing w:after="40"/>
            </w:pPr>
            <w:r>
              <w:t xml:space="preserve">242,00 €</w:t>
            </w:r>
          </w:p>
        </w:tc>
      </w:tr>
      <w:tr>
        <w:tc>
          <w:tcPr>
            <w:tcW w:w="4200" w:type="dxa"/>
          </w:tcPr>
          <w:p>
            <w:pPr>
              <w:spacing w:after="40"/>
            </w:pPr>
            <w:r>
              <w:t xml:space="preserve">Joints ciment extérieur et nettoyage</w:t>
            </w:r>
          </w:p>
        </w:tc>
        <w:tc>
          <w:tcPr>
            <w:tcW w:w="700" w:type="dxa"/>
          </w:tcPr>
          <w:p>
            <w:pPr>
              <w:spacing w:after="40"/>
            </w:pPr>
            <w:r>
              <w:t xml:space="preserve">m²</w:t>
            </w:r>
          </w:p>
        </w:tc>
        <w:tc>
          <w:tcPr>
            <w:tcW w:w="700" w:type="dxa"/>
          </w:tcPr>
          <w:p>
            <w:pPr>
              <w:spacing w:after="40"/>
            </w:pPr>
            <w:r>
              <w:t xml:space="preserve">24</w:t>
            </w:r>
          </w:p>
        </w:tc>
        <w:tc>
          <w:tcPr>
            <w:tcW w:w="1100" w:type="dxa"/>
          </w:tcPr>
          <w:p>
            <w:pPr>
              <w:spacing w:after="40"/>
            </w:pPr>
            <w:r>
              <w:t xml:space="preserve">8,00 €</w:t>
            </w:r>
          </w:p>
        </w:tc>
        <w:tc>
          <w:tcPr>
            <w:tcW w:w="1200" w:type="dxa"/>
          </w:tcPr>
          <w:p>
            <w:pPr>
              <w:spacing w:after="40"/>
            </w:pPr>
            <w:r>
              <w:t xml:space="preserve">192,00 €</w:t>
            </w:r>
          </w:p>
        </w:tc>
      </w:tr>
      <w:tr>
        <w:tc>
          <w:tcPr>
            <w:tcW w:w="4200" w:type="dxa"/>
          </w:tcPr>
          <w:p>
            <w:pPr>
              <w:spacing w:after="40"/>
            </w:pPr>
            <w:r>
              <w:t xml:space="preserve">[Ajoute tes lignes ici]</w:t>
            </w:r>
          </w:p>
        </w:tc>
        <w:tc>
          <w:tcPr>
            <w:tcW w:w="700" w:type="dxa"/>
          </w:tcPr>
          <w:p>
            <w:pPr>
              <w:spacing w:after="40"/>
            </w:pPr>
            <w:r>
              <w:t xml:space="preserve"/>
            </w:r>
          </w:p>
        </w:tc>
        <w:tc>
          <w:tcPr>
            <w:tcW w:w="700" w:type="dxa"/>
          </w:tcPr>
          <w:p>
            <w:pPr>
              <w:spacing w:after="40"/>
            </w:pPr>
            <w:r>
              <w:t xml:space="preserve"/>
            </w:r>
          </w:p>
        </w:tc>
        <w:tc>
          <w:tcPr>
            <w:tcW w:w="1100" w:type="dxa"/>
          </w:tcPr>
          <w:p>
            <w:pPr>
              <w:spacing w:after="40"/>
            </w:pPr>
            <w:r>
              <w:t xml:space="preserve"/>
            </w:r>
          </w:p>
        </w:tc>
        <w:tc>
          <w:tcPr>
            <w:tcW w:w="1200" w:type="dxa"/>
          </w:tcPr>
          <w:p>
            <w:pPr>
              <w:spacing w:after="40"/>
            </w:pPr>
            <w:r>
              <w:t xml:space="preserve"/>
            </w:r>
          </w:p>
        </w:tc>
      </w:tr>
    </w:tbl>
    <w:p>
      <w:pPr>
        <w:spacing w:after="120"/>
      </w:pPr>
    </w:p>
    <w:p>
      <w:pPr>
        <w:jc w:val="right"/>
        <w:spacing w:after="20"/>
      </w:pPr>
      <w:r>
        <w:rPr>
          <w:b/>
        </w:rPr>
        <w:t xml:space="preserve">Total HT : 3 206,00 €</w:t>
      </w:r>
    </w:p>
    <w:p>
      <w:pPr>
        <w:jc w:val="right"/>
        <w:spacing w:after="20"/>
      </w:pPr>
      <w:r>
        <w:t xml:space="preserve">TVA [taux] % : 320,60 €   (exemple à 10 %)</w:t>
      </w:r>
    </w:p>
    <w:p>
      <w:pPr>
        <w:jc w:val="right"/>
        <w:spacing w:after="240"/>
      </w:pPr>
      <w:r>
        <w:rPr>
          <w:b/>
        </w:rPr>
        <w:t xml:space="preserve">Total TTC : 3 526,60 €</w:t>
      </w:r>
    </w:p>
    <w:p>
      <w:pPr>
        <w:spacing w:after="40"/>
      </w:pPr>
      <w:r>
        <w:rPr>
          <w:b/>
        </w:rPr>
        <w:t xml:space="preserve">Conditions de règlement</w:t>
      </w:r>
    </w:p>
    <w:p>
      <w:pPr>
        <w:spacing w:after="20"/>
      </w:pPr>
      <w:r>
        <w:t xml:space="preserve">Acompte de [30] % à la commande, solde à la fin des travaux. Moyens acceptés : [virement, chèque].</w:t>
      </w:r>
    </w:p>
    <w:p>
      <w:pPr>
        <w:spacing w:after="200"/>
      </w:pPr>
      <w:r>
        <w:t xml:space="preserve">Pas d'escompte pour paiement anticipé. Pénalités de retard : [taux] % par an. Indemnité forfaitaire de recouvrement : 40 € pour un client professionnel.</w:t>
      </w:r>
    </w:p>
    <w:p>
      <w:pPr>
        <w:spacing w:after="40"/>
      </w:pPr>
      <w:r>
        <w:rPr>
          <w:b/>
        </w:rPr>
        <w:t xml:space="preserve">TVA applicable</w:t>
      </w:r>
    </w:p>
    <w:p>
      <w:pPr>
        <w:spacing w:after="200"/>
      </w:pPr>
      <w:r>
        <w:t xml:space="preserve">10 % si la terrasse est attenante à un logement achevé depuis plus de deux ans : elle est traitée comme un ouvrage lié à l'habitation. 20 % pour une terrasse neuve créée avec une extension, ou chez un professionnel.</w:t>
      </w:r>
    </w:p>
    <w:p>
      <w:pPr>
        <w:spacing w:after="40"/>
      </w:pPr>
      <w:r>
        <w:rPr>
          <w:b/>
        </w:rPr>
        <w:t xml:space="preserve">Droit de rétractation</w:t>
      </w:r>
    </w:p>
    <w:p>
      <w:pPr>
        <w:spacing w:after="240"/>
      </w:pPr>
      <w:r>
        <w:t xml:space="preserve">Si ce devis est signé hors de l'établissement de l'entreprise, le client particulier dispose de 14 jours pour se rétracter. Le bordereau de rétractation est joint au présent devis.</w:t>
      </w:r>
    </w:p>
    <w:p>
      <w:pPr>
        <w:spacing w:after="40"/>
      </w:pPr>
      <w:r>
        <w:rPr>
          <w:b/>
        </w:rPr>
        <w:t xml:space="preserve">Devis reçu avant l'exécution des travaux.</w:t>
      </w:r>
    </w:p>
    <w:p>
      <w:pPr>
        <w:spacing w:after="600"/>
      </w:pPr>
      <w:r>
        <w:t xml:space="preserve">Date et signature du client, précédées de la mention « Bon pour accord » :</w:t>
      </w:r>
    </w:p>
    <w:p>
      <w:pPr>
        <w:spacing w:after="240"/>
      </w:pPr>
      <w:r>
        <w:t xml:space="preserve">_______________________________________________</w:t>
      </w:r>
    </w:p>
    <w:p>
      <w:pPr>
        <w:spacing w:after="60"/>
      </w:pPr>
      <w:r>
        <w:rPr>
          <w:color w:val="767676"/>
          <w:sz w:val="16"/>
        </w:rPr>
        <w:t xml:space="preserve">Ce modèle et ces explications sont donnés à titre d'information et reflètent la réglementation française applicable aux artisans du bâtiment. Ils ne remplacent pas l'avis de votre comptable ou de votre chambre de métiers, seuls à connaître votre situation : régime fiscal, forme juridique, nature exacte des travaux et statut du client changent certaines obligations.</w:t>
      </w:r>
    </w:p>
    <w:p>
      <w:pPr>
        <w:spacing w:after="120"/>
      </w:pPr>
      <w:r>
        <w:rPr>
          <w:color w:val="767676"/>
          <w:sz w:val="16"/>
        </w:rPr>
        <w:t xml:space="preserve">Modèle gratuit fourni par 1Bleu — 1bleu.com</w:t>
      </w:r>
    </w:p>
    <w:sectPr>
      <w:pgSz w:w="11906" w:h="16838"/>
      <w:pgMar w:top="1134" w:right="1134" w:bottom="1134" w:left="1134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 w:cs="Calibri"/>
        <w:sz w:val="20"/>
        <w:szCs w:val="20"/>
      </w:rPr>
    </w:rPrDefault>
  </w:docDefaults>
  <w:style w:type="paragraph" w:default="1" w:styleId="Normal">
    <w:name w:val="Normal"/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</file>