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peinture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sols, des ouvrants et du mobilier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Rebouchage, ponçage et égrenage des murs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442,00 €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Impression sur fond neuf ou reprise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4,20 €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285,60 €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acrylique satinée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782,00 €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Peinture des plinthes et des huisseries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336,00 €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1 935,60 €</w:t>
      </w:r>
    </w:p>
    <w:p>
      <w:pPr>
        <w:jc w:val="right"/>
        <w:spacing w:after="20"/>
      </w:pPr>
      <w:r>
        <w:t xml:space="preserve">TVA [taux] % : 193,56 €   (exemple à 10 %)</w:t>
      </w:r>
    </w:p>
    <w:p>
      <w:pPr>
        <w:jc w:val="right"/>
        <w:spacing w:after="240"/>
      </w:pPr>
      <w:r>
        <w:rPr>
          <w:b/>
        </w:rPr>
        <w:t xml:space="preserve">Total TTC : 2 129,16 €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ans. Les travaux de peinture consécutifs à une construction neuve restent à 20 %.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